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F1" w:rsidRPr="002F5EE2" w:rsidRDefault="000609F1" w:rsidP="000609F1">
      <w:pPr>
        <w:jc w:val="both"/>
        <w:rPr>
          <w:b/>
          <w:bCs/>
          <w:sz w:val="24"/>
          <w:szCs w:val="24"/>
        </w:rPr>
      </w:pPr>
      <w:r>
        <w:rPr>
          <w:b/>
          <w:bCs/>
          <w:sz w:val="24"/>
          <w:szCs w:val="24"/>
        </w:rPr>
        <w:t xml:space="preserve">    </w:t>
      </w:r>
      <w:r w:rsidRPr="002F5EE2">
        <w:rPr>
          <w:sz w:val="24"/>
          <w:szCs w:val="24"/>
        </w:rPr>
        <w:t xml:space="preserve">ĐẠI HỌC THÁI NGUYÊN                       </w:t>
      </w:r>
      <w:r w:rsidRPr="002F5EE2">
        <w:rPr>
          <w:b/>
          <w:bCs/>
          <w:sz w:val="24"/>
          <w:szCs w:val="24"/>
        </w:rPr>
        <w:t xml:space="preserve">CỘNG HOÀ XÃ HỘI CHỦ NGHĨA VIỆT </w:t>
      </w:r>
      <w:smartTag w:uri="urn:schemas-microsoft-com:office:smarttags" w:element="country-region">
        <w:smartTag w:uri="urn:schemas-microsoft-com:office:smarttags" w:element="place">
          <w:r w:rsidRPr="002F5EE2">
            <w:rPr>
              <w:b/>
              <w:bCs/>
              <w:sz w:val="24"/>
              <w:szCs w:val="24"/>
            </w:rPr>
            <w:t>NAM</w:t>
          </w:r>
        </w:smartTag>
      </w:smartTag>
    </w:p>
    <w:p w:rsidR="000609F1" w:rsidRPr="002F5EE2" w:rsidRDefault="000609F1" w:rsidP="000609F1">
      <w:pPr>
        <w:jc w:val="both"/>
        <w:rPr>
          <w:sz w:val="24"/>
          <w:szCs w:val="24"/>
        </w:rPr>
      </w:pPr>
      <w:r w:rsidRPr="002F5EE2">
        <w:rPr>
          <w:b/>
          <w:bCs/>
          <w:sz w:val="24"/>
          <w:szCs w:val="24"/>
        </w:rPr>
        <w:t>TRƯỜNG ĐẠI HỌC Y DƯỢC</w:t>
      </w:r>
      <w:r w:rsidRPr="002F5EE2">
        <w:rPr>
          <w:sz w:val="24"/>
          <w:szCs w:val="24"/>
        </w:rPr>
        <w:t xml:space="preserve">                                   </w:t>
      </w:r>
      <w:r>
        <w:rPr>
          <w:sz w:val="24"/>
          <w:szCs w:val="24"/>
        </w:rPr>
        <w:t xml:space="preserve">  </w:t>
      </w:r>
      <w:r w:rsidRPr="002F5EE2">
        <w:rPr>
          <w:b/>
          <w:bCs/>
          <w:sz w:val="24"/>
          <w:szCs w:val="24"/>
        </w:rPr>
        <w:t>Độc lập - Tự do - Hạnh phúc</w:t>
      </w:r>
    </w:p>
    <w:p w:rsidR="000609F1" w:rsidRPr="002F5EE2" w:rsidRDefault="000609F1" w:rsidP="000609F1">
      <w:pPr>
        <w:jc w:val="both"/>
        <w:rPr>
          <w:b/>
          <w:sz w:val="24"/>
          <w:szCs w:val="24"/>
        </w:rPr>
      </w:pPr>
      <w:r w:rsidRPr="002F5EE2">
        <w:rPr>
          <w:b/>
          <w:bCs/>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81.05pt;margin-top:.95pt;width:132pt;height:0;z-index:251661312" o:connectortype="straight"/>
        </w:pict>
      </w:r>
      <w:r w:rsidRPr="002F5EE2">
        <w:rPr>
          <w:b/>
          <w:bCs/>
          <w:sz w:val="24"/>
          <w:szCs w:val="24"/>
        </w:rPr>
        <w:pict>
          <v:shape id="_x0000_s1028" type="#_x0000_t32" style="position:absolute;left:0;text-align:left;margin-left:16.3pt;margin-top:.95pt;width:115.5pt;height:0;z-index:251662336" o:connectortype="straight"/>
        </w:pict>
      </w:r>
    </w:p>
    <w:p w:rsidR="000609F1" w:rsidRPr="000609F1" w:rsidRDefault="000609F1" w:rsidP="000609F1">
      <w:pPr>
        <w:jc w:val="both"/>
        <w:rPr>
          <w:sz w:val="24"/>
          <w:szCs w:val="24"/>
        </w:rPr>
      </w:pPr>
      <w:r w:rsidRPr="00B15CF2">
        <w:rPr>
          <w:b/>
          <w:sz w:val="25"/>
          <w:szCs w:val="25"/>
        </w:rPr>
        <w:t xml:space="preserve">    </w:t>
      </w:r>
      <w:r>
        <w:rPr>
          <w:sz w:val="25"/>
          <w:szCs w:val="25"/>
        </w:rPr>
        <w:t xml:space="preserve"> Số: 1817/</w:t>
      </w:r>
      <w:r w:rsidRPr="00B15CF2">
        <w:rPr>
          <w:sz w:val="25"/>
          <w:szCs w:val="25"/>
        </w:rPr>
        <w:t>QĐ - ĐHYD</w:t>
      </w:r>
      <w:r>
        <w:rPr>
          <w:sz w:val="25"/>
          <w:szCs w:val="25"/>
        </w:rPr>
        <w:t xml:space="preserve">                 </w:t>
      </w:r>
      <w:r w:rsidRPr="00B15CF2">
        <w:rPr>
          <w:sz w:val="25"/>
          <w:szCs w:val="25"/>
        </w:rPr>
        <w:t xml:space="preserve"> </w:t>
      </w:r>
      <w:r>
        <w:rPr>
          <w:sz w:val="25"/>
          <w:szCs w:val="25"/>
        </w:rPr>
        <w:t xml:space="preserve">  </w:t>
      </w:r>
      <w:r w:rsidRPr="00B15CF2">
        <w:rPr>
          <w:sz w:val="25"/>
          <w:szCs w:val="25"/>
        </w:rPr>
        <w:t xml:space="preserve"> </w:t>
      </w:r>
      <w:r>
        <w:rPr>
          <w:sz w:val="25"/>
          <w:szCs w:val="25"/>
        </w:rPr>
        <w:t xml:space="preserve">   </w:t>
      </w:r>
      <w:r w:rsidRPr="00B15CF2">
        <w:rPr>
          <w:sz w:val="25"/>
          <w:szCs w:val="25"/>
        </w:rPr>
        <w:t xml:space="preserve">    </w:t>
      </w:r>
      <w:r>
        <w:rPr>
          <w:sz w:val="25"/>
          <w:szCs w:val="25"/>
        </w:rPr>
        <w:t xml:space="preserve">          </w:t>
      </w:r>
      <w:r w:rsidRPr="00B15CF2">
        <w:rPr>
          <w:sz w:val="25"/>
          <w:szCs w:val="25"/>
        </w:rPr>
        <w:t xml:space="preserve">  </w:t>
      </w:r>
      <w:r w:rsidRPr="00B15CF2">
        <w:rPr>
          <w:i/>
          <w:iCs/>
          <w:sz w:val="25"/>
          <w:szCs w:val="25"/>
        </w:rPr>
        <w:t>Thái nguyên,</w:t>
      </w:r>
      <w:r w:rsidRPr="00B15CF2">
        <w:rPr>
          <w:sz w:val="25"/>
          <w:szCs w:val="25"/>
        </w:rPr>
        <w:t xml:space="preserve"> </w:t>
      </w:r>
      <w:r>
        <w:rPr>
          <w:i/>
          <w:iCs/>
          <w:sz w:val="25"/>
          <w:szCs w:val="25"/>
        </w:rPr>
        <w:t xml:space="preserve">ngày 08 </w:t>
      </w:r>
      <w:r w:rsidRPr="00B15CF2">
        <w:rPr>
          <w:i/>
          <w:iCs/>
          <w:sz w:val="25"/>
          <w:szCs w:val="25"/>
        </w:rPr>
        <w:t>tháng 11 năm 201</w:t>
      </w:r>
      <w:r>
        <w:rPr>
          <w:i/>
          <w:iCs/>
          <w:sz w:val="25"/>
          <w:szCs w:val="25"/>
        </w:rPr>
        <w:t>7</w:t>
      </w:r>
    </w:p>
    <w:p w:rsidR="000609F1" w:rsidRPr="002F5EE2" w:rsidRDefault="000609F1" w:rsidP="000609F1">
      <w:pPr>
        <w:spacing w:line="300" w:lineRule="exact"/>
        <w:jc w:val="center"/>
        <w:rPr>
          <w:b/>
          <w:bCs/>
          <w:sz w:val="24"/>
          <w:szCs w:val="24"/>
        </w:rPr>
      </w:pPr>
    </w:p>
    <w:p w:rsidR="000609F1" w:rsidRPr="002F5EE2" w:rsidRDefault="000609F1" w:rsidP="000609F1">
      <w:pPr>
        <w:jc w:val="center"/>
        <w:rPr>
          <w:b/>
          <w:bCs/>
          <w:sz w:val="25"/>
          <w:szCs w:val="25"/>
        </w:rPr>
      </w:pPr>
      <w:r w:rsidRPr="002F5EE2">
        <w:rPr>
          <w:b/>
          <w:bCs/>
          <w:sz w:val="25"/>
          <w:szCs w:val="25"/>
        </w:rPr>
        <w:t xml:space="preserve">QUYẾT ĐỊNH </w:t>
      </w:r>
    </w:p>
    <w:p w:rsidR="000609F1" w:rsidRPr="0004143E" w:rsidRDefault="000609F1" w:rsidP="000609F1">
      <w:pPr>
        <w:jc w:val="center"/>
        <w:rPr>
          <w:b/>
          <w:bCs/>
          <w:sz w:val="26"/>
          <w:szCs w:val="26"/>
        </w:rPr>
      </w:pPr>
      <w:r w:rsidRPr="0004143E">
        <w:rPr>
          <w:b/>
          <w:bCs/>
          <w:sz w:val="26"/>
          <w:szCs w:val="26"/>
        </w:rPr>
        <w:t>Về việc cấp Trợ</w:t>
      </w:r>
      <w:r>
        <w:rPr>
          <w:b/>
          <w:bCs/>
          <w:sz w:val="26"/>
          <w:szCs w:val="26"/>
        </w:rPr>
        <w:t xml:space="preserve"> cấp xã hội đợt 1 - năm học 2017 - 2018</w:t>
      </w:r>
    </w:p>
    <w:p w:rsidR="000609F1" w:rsidRPr="0004143E" w:rsidRDefault="000609F1" w:rsidP="000609F1">
      <w:pPr>
        <w:jc w:val="center"/>
        <w:rPr>
          <w:b/>
          <w:bCs/>
          <w:sz w:val="26"/>
          <w:szCs w:val="26"/>
        </w:rPr>
      </w:pPr>
      <w:r w:rsidRPr="0004143E">
        <w:rPr>
          <w:b/>
          <w:bCs/>
          <w:sz w:val="26"/>
          <w:szCs w:val="26"/>
        </w:rPr>
        <w:t xml:space="preserve"> cho sinh viên hệ chính quy đang học tại trường</w:t>
      </w:r>
    </w:p>
    <w:p w:rsidR="000609F1" w:rsidRPr="0004143E" w:rsidRDefault="000609F1" w:rsidP="000609F1">
      <w:pPr>
        <w:spacing w:line="300" w:lineRule="exact"/>
        <w:jc w:val="center"/>
        <w:rPr>
          <w:b/>
          <w:bCs/>
          <w:sz w:val="26"/>
          <w:szCs w:val="26"/>
        </w:rPr>
      </w:pPr>
      <w:r w:rsidRPr="0004143E">
        <w:rPr>
          <w:b/>
          <w:bCs/>
          <w:sz w:val="26"/>
          <w:szCs w:val="26"/>
        </w:rPr>
        <w:pict>
          <v:line id="_x0000_s1026" style="position:absolute;left:0;text-align:left;z-index:251660288" from="125.25pt,3.9pt" to="350.25pt,3.9pt"/>
        </w:pict>
      </w:r>
    </w:p>
    <w:p w:rsidR="000609F1" w:rsidRDefault="000609F1" w:rsidP="000609F1">
      <w:pPr>
        <w:spacing w:line="300" w:lineRule="exact"/>
        <w:jc w:val="center"/>
        <w:rPr>
          <w:b/>
          <w:bCs/>
          <w:sz w:val="26"/>
          <w:szCs w:val="26"/>
        </w:rPr>
      </w:pPr>
      <w:r w:rsidRPr="0004143E">
        <w:rPr>
          <w:b/>
          <w:bCs/>
          <w:sz w:val="26"/>
          <w:szCs w:val="26"/>
        </w:rPr>
        <w:t>HIỆU TRƯỞNG TRƯỜNG ĐẠI HỌC Y - DƯỢC</w:t>
      </w:r>
    </w:p>
    <w:p w:rsidR="000609F1" w:rsidRPr="000609F1" w:rsidRDefault="000609F1" w:rsidP="000609F1">
      <w:pPr>
        <w:tabs>
          <w:tab w:val="left" w:pos="540"/>
        </w:tabs>
        <w:ind w:firstLine="720"/>
        <w:jc w:val="both"/>
        <w:rPr>
          <w:sz w:val="25"/>
          <w:szCs w:val="25"/>
        </w:rPr>
      </w:pPr>
      <w:r w:rsidRPr="000609F1">
        <w:rPr>
          <w:sz w:val="25"/>
          <w:szCs w:val="25"/>
        </w:rPr>
        <w:t>Căn cứ Nghị định 31/CP của Chính phủ ngày 4/4/1994 về việc thành lập Đại học Thái Nguyên;</w:t>
      </w:r>
    </w:p>
    <w:p w:rsidR="000609F1" w:rsidRPr="000609F1" w:rsidRDefault="000609F1" w:rsidP="000609F1">
      <w:pPr>
        <w:spacing w:before="40"/>
        <w:ind w:firstLine="720"/>
        <w:jc w:val="both"/>
        <w:rPr>
          <w:spacing w:val="-8"/>
          <w:sz w:val="25"/>
          <w:szCs w:val="25"/>
          <w:lang w:val="pt-BR"/>
        </w:rPr>
      </w:pPr>
      <w:r w:rsidRPr="000609F1">
        <w:rPr>
          <w:spacing w:val="-8"/>
          <w:sz w:val="25"/>
          <w:szCs w:val="25"/>
          <w:lang w:val="pt-BR"/>
        </w:rPr>
        <w:t>Căn cứ Quyết định 2424/QĐ-ĐHTN ngày 22/10/2015 của Giám đốc Đại học Thái Nguyên về việc ban hành Quy định, nhiệm vụ, quyền hạn của Đại học Thái Nguyên, các cơ sở giáo dục đại học thành viên và đơn vị trực thuộc;</w:t>
      </w:r>
    </w:p>
    <w:p w:rsidR="000609F1" w:rsidRPr="000609F1" w:rsidRDefault="000609F1" w:rsidP="000609F1">
      <w:pPr>
        <w:spacing w:before="40"/>
        <w:ind w:firstLine="720"/>
        <w:jc w:val="both"/>
        <w:rPr>
          <w:position w:val="-6"/>
          <w:sz w:val="25"/>
          <w:szCs w:val="25"/>
          <w:lang w:val="pt-BR"/>
        </w:rPr>
      </w:pPr>
      <w:r w:rsidRPr="000609F1">
        <w:rPr>
          <w:position w:val="-6"/>
          <w:sz w:val="25"/>
          <w:szCs w:val="25"/>
          <w:lang w:val="pt-BR"/>
        </w:rPr>
        <w:t>Căn cứ Quyết định số 560/QĐ-ĐHYD ngày 06/4/2016 của Hiệu trưởng Trường Đại học Y Dược về việc Ban hành Quy chế tổ chức và hoạt động của Trường Đại học Y Dược - Đại học Thái Nguyên;</w:t>
      </w:r>
    </w:p>
    <w:p w:rsidR="000609F1" w:rsidRPr="000609F1" w:rsidRDefault="000609F1" w:rsidP="000609F1">
      <w:pPr>
        <w:pStyle w:val="BodyTextIndent"/>
        <w:widowControl/>
        <w:overflowPunct/>
        <w:autoSpaceDE/>
        <w:autoSpaceDN/>
        <w:adjustRightInd/>
        <w:spacing w:before="40"/>
        <w:ind w:firstLine="539"/>
        <w:textAlignment w:val="auto"/>
        <w:rPr>
          <w:rFonts w:ascii="Times New Roman" w:hAnsi="Times New Roman"/>
          <w:sz w:val="25"/>
          <w:szCs w:val="25"/>
          <w:lang w:val="pt-BR"/>
        </w:rPr>
      </w:pPr>
      <w:r w:rsidRPr="000609F1">
        <w:rPr>
          <w:rFonts w:ascii="Times New Roman" w:hAnsi="Times New Roman"/>
          <w:sz w:val="25"/>
          <w:szCs w:val="25"/>
          <w:lang w:val="pt-BR"/>
        </w:rPr>
        <w:t>Căn cứ Quyết định 1121/1997/QĐ - TTg ngày 23/12/1997 của Thủ tướng chính phủ và Thông tư số 53/1998/TT- LT/BGD&amp;ĐT- BTC- BLĐ -TB&amp;XH ngày 25/8/1998 của Bộ Giáo dục và Đào tạo - Bộ Tài chính - Bộ Lao động Thương binh và Xã hội về việc hướng dẫn thực hiện chế độ học bổng và trợ cấp xã hội đối với học sinh, sinh viên các trường đào tạo công lập;</w:t>
      </w:r>
    </w:p>
    <w:p w:rsidR="000609F1" w:rsidRPr="000609F1" w:rsidRDefault="000609F1" w:rsidP="000609F1">
      <w:pPr>
        <w:spacing w:before="40"/>
        <w:ind w:firstLine="539"/>
        <w:jc w:val="both"/>
        <w:rPr>
          <w:sz w:val="25"/>
          <w:szCs w:val="25"/>
          <w:lang w:val="pt-BR"/>
        </w:rPr>
      </w:pPr>
      <w:r w:rsidRPr="000609F1">
        <w:rPr>
          <w:sz w:val="25"/>
          <w:szCs w:val="25"/>
          <w:lang w:val="pt-BR"/>
        </w:rPr>
        <w:t>Căn cứ Quyết định 194/2001/QĐ - TTg ngày 21/12/2001 của Thủ tướng chính phủ và Thông tư liên tịch số 13/2002/TTLT - BGD&amp;ĐT-BTC ngày 28/3/2002 của Bộ Giáo dục và Đào tạo - Bộ Tài chính về việc hướng dẫn thực hiện điều chỉnh mức học bổng chính sách và trợ cấp xã hội đối với học sinh, sinh viên là người dân tộc thiểu số tại các trường đào tạo công lập;</w:t>
      </w:r>
    </w:p>
    <w:p w:rsidR="000609F1" w:rsidRPr="000609F1" w:rsidRDefault="000609F1" w:rsidP="000609F1">
      <w:pPr>
        <w:spacing w:before="40"/>
        <w:ind w:firstLine="539"/>
        <w:jc w:val="both"/>
        <w:rPr>
          <w:sz w:val="25"/>
          <w:szCs w:val="25"/>
          <w:lang w:val="pt-BR"/>
        </w:rPr>
      </w:pPr>
      <w:r w:rsidRPr="000609F1">
        <w:rPr>
          <w:sz w:val="25"/>
          <w:szCs w:val="25"/>
          <w:lang w:val="pt-BR"/>
        </w:rPr>
        <w:t>Căn cứ kết luận tại cuộc họp xét hưởng chế độ chính sách học kỳ I năm học 2017 - 2018 đối với sinh viên ngày 30/10/2017 của trường Đại học Y Dược;</w:t>
      </w:r>
    </w:p>
    <w:p w:rsidR="000609F1" w:rsidRPr="000609F1" w:rsidRDefault="000609F1" w:rsidP="000609F1">
      <w:pPr>
        <w:spacing w:before="40"/>
        <w:ind w:firstLine="539"/>
        <w:jc w:val="both"/>
        <w:rPr>
          <w:sz w:val="25"/>
          <w:szCs w:val="25"/>
        </w:rPr>
      </w:pPr>
      <w:r w:rsidRPr="000609F1">
        <w:rPr>
          <w:sz w:val="25"/>
          <w:szCs w:val="25"/>
        </w:rPr>
        <w:t>Theo đề nghị của ông Trưởng phòng Công tác Học sinh - sinh viên,</w:t>
      </w:r>
    </w:p>
    <w:p w:rsidR="000609F1" w:rsidRPr="000609F1" w:rsidRDefault="000609F1" w:rsidP="000609F1">
      <w:pPr>
        <w:spacing w:before="60"/>
        <w:ind w:firstLine="536"/>
        <w:jc w:val="center"/>
        <w:rPr>
          <w:b/>
          <w:bCs/>
          <w:sz w:val="25"/>
          <w:szCs w:val="25"/>
        </w:rPr>
      </w:pPr>
      <w:r w:rsidRPr="000609F1">
        <w:rPr>
          <w:b/>
          <w:bCs/>
          <w:sz w:val="25"/>
          <w:szCs w:val="25"/>
        </w:rPr>
        <w:t>QUYẾT ĐỊNH:</w:t>
      </w:r>
    </w:p>
    <w:p w:rsidR="000609F1" w:rsidRPr="000609F1" w:rsidRDefault="000609F1" w:rsidP="000609F1">
      <w:pPr>
        <w:tabs>
          <w:tab w:val="left" w:pos="871"/>
        </w:tabs>
        <w:ind w:firstLine="533"/>
        <w:jc w:val="both"/>
        <w:rPr>
          <w:sz w:val="25"/>
          <w:szCs w:val="25"/>
        </w:rPr>
      </w:pPr>
      <w:r w:rsidRPr="000609F1">
        <w:rPr>
          <w:b/>
          <w:bCs/>
          <w:sz w:val="25"/>
          <w:szCs w:val="25"/>
        </w:rPr>
        <w:t>Điều 1</w:t>
      </w:r>
      <w:r w:rsidRPr="000609F1">
        <w:rPr>
          <w:sz w:val="25"/>
          <w:szCs w:val="25"/>
        </w:rPr>
        <w:t>. Cấp trợ cấp xã hội đợt 1 năm học 2017 - 2018 cho 404 sinh viên là người dân tộc thiểu số có hộ khẩu thường trú tại xã vùng cao, xã đặc biệt khó khăn với mức hưởng 140.000 đồng/tháng x 12 tháng (từ tháng 10/2017 đến hết  tháng 9/2018). Riêng đối với 79 sinh viên các lớp Bác sĩ đa khoa K45; Răng hàm mặt K5; Y học dự phòng K6; đại học Dược K9; Cử nhân điều dưỡng K11 được hưởng 11 tháng (từ tháng 10/2017 đến hết tháng 8/2018).</w:t>
      </w:r>
    </w:p>
    <w:p w:rsidR="000609F1" w:rsidRPr="000609F1" w:rsidRDefault="000609F1" w:rsidP="000609F1">
      <w:pPr>
        <w:tabs>
          <w:tab w:val="left" w:pos="871"/>
        </w:tabs>
        <w:ind w:firstLine="873"/>
        <w:jc w:val="center"/>
        <w:rPr>
          <w:b/>
          <w:i/>
          <w:sz w:val="25"/>
          <w:szCs w:val="25"/>
        </w:rPr>
      </w:pPr>
      <w:r w:rsidRPr="000609F1">
        <w:rPr>
          <w:b/>
          <w:i/>
          <w:sz w:val="25"/>
          <w:szCs w:val="25"/>
        </w:rPr>
        <w:t>(Có danh sách kèm theo)</w:t>
      </w:r>
    </w:p>
    <w:p w:rsidR="000609F1" w:rsidRPr="000609F1" w:rsidRDefault="000609F1" w:rsidP="000609F1">
      <w:pPr>
        <w:tabs>
          <w:tab w:val="left" w:pos="871"/>
        </w:tabs>
        <w:ind w:firstLine="533"/>
        <w:jc w:val="both"/>
        <w:rPr>
          <w:sz w:val="25"/>
          <w:szCs w:val="25"/>
        </w:rPr>
      </w:pPr>
      <w:r w:rsidRPr="000609F1">
        <w:rPr>
          <w:b/>
          <w:bCs/>
          <w:sz w:val="25"/>
          <w:szCs w:val="25"/>
        </w:rPr>
        <w:t>Điều 2</w:t>
      </w:r>
      <w:r w:rsidRPr="000609F1">
        <w:rPr>
          <w:sz w:val="25"/>
          <w:szCs w:val="25"/>
        </w:rPr>
        <w:t>. Cấp trợ cấp xã hội đợt 1 năm học 2017 - 2018 cho 35 sinh viên thuộc hộ nghèo vượt khó học tập và sinh viên mồ côi cha mẹ với mức hưởng 100.000 đồng/tháng. Thời gian hưởng cụ thể:</w:t>
      </w:r>
    </w:p>
    <w:p w:rsidR="000609F1" w:rsidRPr="000609F1" w:rsidRDefault="000609F1" w:rsidP="000609F1">
      <w:pPr>
        <w:tabs>
          <w:tab w:val="left" w:pos="871"/>
        </w:tabs>
        <w:ind w:firstLine="533"/>
        <w:jc w:val="both"/>
        <w:rPr>
          <w:sz w:val="25"/>
          <w:szCs w:val="25"/>
        </w:rPr>
      </w:pPr>
      <w:r w:rsidRPr="000609F1">
        <w:rPr>
          <w:sz w:val="25"/>
          <w:szCs w:val="25"/>
        </w:rPr>
        <w:t>Sinh viên mồ côi cha mẹ hưởng trợ cấp 12 tháng từ tháng 10/2017 đến hết tháng 9/2018.</w:t>
      </w:r>
    </w:p>
    <w:p w:rsidR="000609F1" w:rsidRPr="000609F1" w:rsidRDefault="000609F1" w:rsidP="000609F1">
      <w:pPr>
        <w:tabs>
          <w:tab w:val="left" w:pos="871"/>
        </w:tabs>
        <w:ind w:firstLine="533"/>
        <w:jc w:val="both"/>
        <w:rPr>
          <w:sz w:val="25"/>
          <w:szCs w:val="25"/>
        </w:rPr>
      </w:pPr>
      <w:r w:rsidRPr="000609F1">
        <w:rPr>
          <w:sz w:val="25"/>
          <w:szCs w:val="25"/>
        </w:rPr>
        <w:t>Sinh viên hộ nghèo vượt khó học tập được hưởng từ tháng 10/2017 đến tháng 12/2017.</w:t>
      </w:r>
    </w:p>
    <w:p w:rsidR="000609F1" w:rsidRPr="000609F1" w:rsidRDefault="000609F1" w:rsidP="000609F1">
      <w:pPr>
        <w:tabs>
          <w:tab w:val="left" w:pos="871"/>
        </w:tabs>
        <w:ind w:firstLine="533"/>
        <w:jc w:val="center"/>
        <w:rPr>
          <w:sz w:val="25"/>
          <w:szCs w:val="25"/>
        </w:rPr>
      </w:pPr>
      <w:r w:rsidRPr="000609F1">
        <w:rPr>
          <w:b/>
          <w:i/>
          <w:sz w:val="25"/>
          <w:szCs w:val="25"/>
        </w:rPr>
        <w:t>(Có danh sách kèm theo)</w:t>
      </w:r>
    </w:p>
    <w:p w:rsidR="000609F1" w:rsidRPr="000609F1" w:rsidRDefault="000609F1" w:rsidP="000609F1">
      <w:pPr>
        <w:tabs>
          <w:tab w:val="left" w:pos="871"/>
        </w:tabs>
        <w:ind w:firstLine="533"/>
        <w:jc w:val="both"/>
        <w:rPr>
          <w:sz w:val="25"/>
          <w:szCs w:val="25"/>
        </w:rPr>
      </w:pPr>
      <w:r w:rsidRPr="000609F1">
        <w:rPr>
          <w:sz w:val="25"/>
          <w:szCs w:val="25"/>
        </w:rPr>
        <w:t xml:space="preserve"> </w:t>
      </w:r>
      <w:r w:rsidRPr="000609F1">
        <w:rPr>
          <w:b/>
          <w:bCs/>
          <w:sz w:val="25"/>
          <w:szCs w:val="25"/>
        </w:rPr>
        <w:t xml:space="preserve">Điều 3. </w:t>
      </w:r>
      <w:r w:rsidRPr="000609F1">
        <w:rPr>
          <w:sz w:val="25"/>
          <w:szCs w:val="25"/>
        </w:rPr>
        <w:t>Các ông (bà) Trưởng phòng Công tác HS - SV, phòng Đào tạo, phòng Kế hoạch - Tài chính và các sinh viên có tên trên căn cứ quyết định thi hành./.</w:t>
      </w:r>
    </w:p>
    <w:p w:rsidR="000609F1" w:rsidRPr="000609F1" w:rsidRDefault="000609F1" w:rsidP="000609F1">
      <w:pPr>
        <w:tabs>
          <w:tab w:val="left" w:pos="871"/>
        </w:tabs>
        <w:spacing w:before="40"/>
        <w:ind w:firstLine="533"/>
        <w:jc w:val="both"/>
        <w:rPr>
          <w:sz w:val="25"/>
          <w:szCs w:val="25"/>
        </w:rPr>
      </w:pPr>
    </w:p>
    <w:tbl>
      <w:tblPr>
        <w:tblW w:w="9880" w:type="dxa"/>
        <w:tblInd w:w="108" w:type="dxa"/>
        <w:tblLook w:val="04A0"/>
      </w:tblPr>
      <w:tblGrid>
        <w:gridCol w:w="5023"/>
        <w:gridCol w:w="4857"/>
      </w:tblGrid>
      <w:tr w:rsidR="000609F1" w:rsidRPr="002F5EE2" w:rsidTr="000609F1">
        <w:trPr>
          <w:trHeight w:val="112"/>
        </w:trPr>
        <w:tc>
          <w:tcPr>
            <w:tcW w:w="5023" w:type="dxa"/>
          </w:tcPr>
          <w:p w:rsidR="000609F1" w:rsidRPr="002F5EE2" w:rsidRDefault="000609F1" w:rsidP="000609F1">
            <w:pPr>
              <w:tabs>
                <w:tab w:val="left" w:pos="871"/>
              </w:tabs>
              <w:jc w:val="both"/>
              <w:rPr>
                <w:sz w:val="24"/>
                <w:szCs w:val="24"/>
              </w:rPr>
            </w:pPr>
            <w:r w:rsidRPr="002F5EE2">
              <w:rPr>
                <w:b/>
                <w:bCs/>
                <w:i/>
                <w:iCs/>
                <w:sz w:val="24"/>
                <w:szCs w:val="24"/>
              </w:rPr>
              <w:t>Nơi nhận:</w:t>
            </w:r>
            <w:r w:rsidRPr="002F5EE2">
              <w:rPr>
                <w:b/>
                <w:bCs/>
                <w:sz w:val="24"/>
                <w:szCs w:val="24"/>
              </w:rPr>
              <w:t xml:space="preserve">                                                                                      </w:t>
            </w:r>
          </w:p>
        </w:tc>
        <w:tc>
          <w:tcPr>
            <w:tcW w:w="4857" w:type="dxa"/>
          </w:tcPr>
          <w:p w:rsidR="000609F1" w:rsidRPr="002F5EE2" w:rsidRDefault="000609F1" w:rsidP="000609F1">
            <w:pPr>
              <w:tabs>
                <w:tab w:val="left" w:pos="871"/>
              </w:tabs>
              <w:spacing w:before="100" w:beforeAutospacing="1" w:after="100" w:afterAutospacing="1"/>
              <w:jc w:val="center"/>
              <w:rPr>
                <w:sz w:val="24"/>
                <w:szCs w:val="24"/>
              </w:rPr>
            </w:pPr>
            <w:r w:rsidRPr="002F5EE2">
              <w:rPr>
                <w:b/>
                <w:bCs/>
                <w:sz w:val="24"/>
                <w:szCs w:val="24"/>
              </w:rPr>
              <w:t>KT. HIỆU TRƯỞNG</w:t>
            </w:r>
          </w:p>
        </w:tc>
      </w:tr>
      <w:tr w:rsidR="000609F1" w:rsidRPr="002F5EE2" w:rsidTr="000609F1">
        <w:trPr>
          <w:trHeight w:val="112"/>
        </w:trPr>
        <w:tc>
          <w:tcPr>
            <w:tcW w:w="5023" w:type="dxa"/>
          </w:tcPr>
          <w:p w:rsidR="000609F1" w:rsidRPr="002F5EE2" w:rsidRDefault="000609F1" w:rsidP="000609F1">
            <w:pPr>
              <w:tabs>
                <w:tab w:val="left" w:pos="871"/>
              </w:tabs>
              <w:jc w:val="both"/>
              <w:rPr>
                <w:sz w:val="24"/>
                <w:szCs w:val="24"/>
              </w:rPr>
            </w:pPr>
            <w:r>
              <w:rPr>
                <w:sz w:val="24"/>
                <w:szCs w:val="24"/>
              </w:rPr>
              <w:t xml:space="preserve">- Như điều 3 ( thi hành);                </w:t>
            </w:r>
            <w:r w:rsidRPr="002F5EE2">
              <w:rPr>
                <w:sz w:val="24"/>
                <w:szCs w:val="24"/>
              </w:rPr>
              <w:t xml:space="preserve">                                            </w:t>
            </w:r>
          </w:p>
        </w:tc>
        <w:tc>
          <w:tcPr>
            <w:tcW w:w="4857" w:type="dxa"/>
          </w:tcPr>
          <w:p w:rsidR="000609F1" w:rsidRPr="002F5EE2" w:rsidRDefault="000609F1" w:rsidP="000609F1">
            <w:pPr>
              <w:spacing w:before="100" w:beforeAutospacing="1" w:after="100" w:afterAutospacing="1"/>
              <w:jc w:val="center"/>
              <w:rPr>
                <w:sz w:val="24"/>
                <w:szCs w:val="24"/>
              </w:rPr>
            </w:pPr>
            <w:r w:rsidRPr="002F5EE2">
              <w:rPr>
                <w:b/>
                <w:bCs/>
                <w:sz w:val="24"/>
                <w:szCs w:val="24"/>
              </w:rPr>
              <w:t>PHÓ HIỆU TRƯỞNG</w:t>
            </w:r>
          </w:p>
        </w:tc>
      </w:tr>
      <w:tr w:rsidR="000609F1" w:rsidRPr="002F5EE2" w:rsidTr="000609F1">
        <w:trPr>
          <w:trHeight w:val="558"/>
        </w:trPr>
        <w:tc>
          <w:tcPr>
            <w:tcW w:w="5023" w:type="dxa"/>
          </w:tcPr>
          <w:p w:rsidR="000609F1" w:rsidRPr="002F5EE2" w:rsidRDefault="000609F1" w:rsidP="000609F1">
            <w:pPr>
              <w:tabs>
                <w:tab w:val="left" w:pos="871"/>
              </w:tabs>
              <w:jc w:val="both"/>
              <w:rPr>
                <w:sz w:val="24"/>
                <w:szCs w:val="24"/>
              </w:rPr>
            </w:pPr>
            <w:r>
              <w:rPr>
                <w:sz w:val="24"/>
                <w:szCs w:val="24"/>
              </w:rPr>
              <w:t>- Lưu VT, CT HSSV.</w:t>
            </w:r>
          </w:p>
        </w:tc>
        <w:tc>
          <w:tcPr>
            <w:tcW w:w="4857" w:type="dxa"/>
          </w:tcPr>
          <w:p w:rsidR="000609F1" w:rsidRPr="000609F1" w:rsidRDefault="000609F1" w:rsidP="000609F1">
            <w:pPr>
              <w:tabs>
                <w:tab w:val="left" w:pos="871"/>
              </w:tabs>
              <w:spacing w:line="320" w:lineRule="exact"/>
              <w:rPr>
                <w:b/>
                <w:i/>
                <w:sz w:val="24"/>
                <w:szCs w:val="24"/>
              </w:rPr>
            </w:pPr>
            <w:r>
              <w:rPr>
                <w:b/>
                <w:i/>
                <w:sz w:val="24"/>
                <w:szCs w:val="24"/>
              </w:rPr>
              <w:t xml:space="preserve">                                  </w:t>
            </w:r>
            <w:r w:rsidRPr="000609F1">
              <w:rPr>
                <w:b/>
                <w:i/>
                <w:sz w:val="24"/>
                <w:szCs w:val="24"/>
              </w:rPr>
              <w:t>(Đã ký)</w:t>
            </w:r>
          </w:p>
          <w:p w:rsidR="000609F1" w:rsidRPr="000609F1" w:rsidRDefault="000609F1" w:rsidP="000609F1">
            <w:pPr>
              <w:tabs>
                <w:tab w:val="left" w:pos="871"/>
              </w:tabs>
              <w:spacing w:line="320" w:lineRule="exact"/>
              <w:jc w:val="center"/>
              <w:rPr>
                <w:i/>
                <w:sz w:val="24"/>
                <w:szCs w:val="24"/>
              </w:rPr>
            </w:pPr>
          </w:p>
          <w:p w:rsidR="000609F1" w:rsidRPr="000609F1" w:rsidRDefault="000609F1" w:rsidP="000609F1">
            <w:pPr>
              <w:tabs>
                <w:tab w:val="left" w:pos="871"/>
              </w:tabs>
              <w:spacing w:line="320" w:lineRule="exact"/>
              <w:jc w:val="center"/>
              <w:rPr>
                <w:sz w:val="24"/>
                <w:szCs w:val="24"/>
              </w:rPr>
            </w:pPr>
            <w:r w:rsidRPr="000609F1">
              <w:rPr>
                <w:b/>
                <w:sz w:val="24"/>
                <w:szCs w:val="24"/>
              </w:rPr>
              <w:t>PGS.TS. Nguyễn Tiến Dũng</w:t>
            </w:r>
          </w:p>
        </w:tc>
      </w:tr>
    </w:tbl>
    <w:p w:rsidR="001E4B2E" w:rsidRDefault="001E4B2E"/>
    <w:sectPr w:rsidR="001E4B2E" w:rsidSect="000609F1">
      <w:pgSz w:w="12240" w:h="15840"/>
      <w:pgMar w:top="426" w:right="851" w:bottom="91"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09F1"/>
    <w:rsid w:val="000609F1"/>
    <w:rsid w:val="001E4B2E"/>
    <w:rsid w:val="00980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F1"/>
    <w:pPr>
      <w:spacing w:after="0" w:line="240" w:lineRule="auto"/>
    </w:pPr>
    <w:rPr>
      <w:rFonts w:eastAsia="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609F1"/>
    <w:pPr>
      <w:widowControl w:val="0"/>
      <w:overflowPunct w:val="0"/>
      <w:autoSpaceDE w:val="0"/>
      <w:autoSpaceDN w:val="0"/>
      <w:adjustRightInd w:val="0"/>
      <w:ind w:firstLine="450"/>
      <w:jc w:val="both"/>
      <w:textAlignment w:val="baseline"/>
    </w:pPr>
    <w:rPr>
      <w:rFonts w:ascii=".VnTime" w:hAnsi=".VnTime"/>
      <w:szCs w:val="20"/>
    </w:rPr>
  </w:style>
  <w:style w:type="character" w:customStyle="1" w:styleId="BodyTextIndentChar">
    <w:name w:val="Body Text Indent Char"/>
    <w:basedOn w:val="DefaultParagraphFont"/>
    <w:link w:val="BodyTextIndent"/>
    <w:rsid w:val="000609F1"/>
    <w:rPr>
      <w:rFonts w:ascii=".VnTime" w:eastAsia="Times New Roman" w:hAnsi=".VnTime" w:cs="Times New Roman"/>
      <w:noProof/>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2017-11-21T07:35:00Z</dcterms:created>
  <dcterms:modified xsi:type="dcterms:W3CDTF">2017-11-21T07:44:00Z</dcterms:modified>
</cp:coreProperties>
</file>